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AB19" w14:textId="77777777" w:rsidR="003B26F5" w:rsidRPr="00A836FD" w:rsidRDefault="003B26F5" w:rsidP="00700B13">
      <w:pPr>
        <w:rPr>
          <w:color w:val="000000"/>
          <w:sz w:val="20"/>
          <w:szCs w:val="20"/>
        </w:rPr>
      </w:pPr>
      <w:r w:rsidRPr="00A836FD">
        <w:rPr>
          <w:sz w:val="20"/>
          <w:szCs w:val="20"/>
        </w:rPr>
        <w:t>Приложение 2 к тендерной документации</w:t>
      </w:r>
    </w:p>
    <w:p w14:paraId="0D85D2F9"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color w:val="000000"/>
          <w:sz w:val="20"/>
          <w:szCs w:val="20"/>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A836FD">
        <w:rPr>
          <w:color w:val="000000"/>
          <w:sz w:val="20"/>
          <w:szCs w:val="20"/>
        </w:rPr>
        <w:t xml:space="preserve">от 7 июля 2020 года </w:t>
      </w:r>
      <w:r w:rsidRPr="00A836FD">
        <w:rPr>
          <w:color w:val="000000"/>
          <w:sz w:val="20"/>
          <w:szCs w:val="20"/>
        </w:rPr>
        <w:t>«О здоровье народа и системе здравоохранения» №</w:t>
      </w:r>
      <w:r w:rsidR="008D6F7C" w:rsidRPr="00A836FD">
        <w:rPr>
          <w:color w:val="000000"/>
          <w:sz w:val="20"/>
          <w:szCs w:val="20"/>
        </w:rPr>
        <w:t xml:space="preserve">360-VI </w:t>
      </w:r>
      <w:r w:rsidRPr="00A836FD">
        <w:rPr>
          <w:color w:val="000000"/>
          <w:sz w:val="20"/>
          <w:szCs w:val="20"/>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color w:val="000000"/>
          <w:sz w:val="20"/>
          <w:szCs w:val="20"/>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color w:val="000000"/>
          <w:sz w:val="20"/>
          <w:szCs w:val="20"/>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color w:val="000000"/>
          <w:sz w:val="20"/>
          <w:szCs w:val="20"/>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color w:val="000000"/>
          <w:sz w:val="20"/>
          <w:szCs w:val="20"/>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color w:val="000000"/>
          <w:sz w:val="20"/>
          <w:szCs w:val="20"/>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A836FD" w:rsidRDefault="00256FA5" w:rsidP="00256FA5">
      <w:pPr>
        <w:autoSpaceDE w:val="0"/>
        <w:autoSpaceDN w:val="0"/>
        <w:ind w:firstLine="400"/>
        <w:contextualSpacing/>
        <w:mirrorIndents/>
        <w:jc w:val="both"/>
        <w:rPr>
          <w:color w:val="000000"/>
          <w:sz w:val="20"/>
          <w:szCs w:val="20"/>
        </w:rPr>
      </w:pPr>
      <w:r w:rsidRPr="00A836FD">
        <w:rPr>
          <w:b/>
          <w:bCs/>
          <w:color w:val="000000"/>
          <w:sz w:val="20"/>
          <w:szCs w:val="20"/>
        </w:rPr>
        <w:t>Сопутствующие услуги:</w:t>
      </w:r>
      <w:r w:rsidRPr="00A836FD">
        <w:rPr>
          <w:color w:val="000000"/>
          <w:sz w:val="20"/>
          <w:szCs w:val="20"/>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Pr="00A836FD" w:rsidRDefault="00151481" w:rsidP="00725373">
      <w:pPr>
        <w:autoSpaceDE w:val="0"/>
        <w:autoSpaceDN w:val="0"/>
        <w:ind w:firstLine="400"/>
        <w:contextualSpacing/>
        <w:mirrorIndents/>
        <w:jc w:val="both"/>
        <w:rPr>
          <w:sz w:val="20"/>
          <w:szCs w:val="20"/>
        </w:rPr>
      </w:pPr>
    </w:p>
    <w:p w14:paraId="1C9B3D11" w14:textId="77777777" w:rsidR="002776EB" w:rsidRPr="00A836FD" w:rsidRDefault="002776EB" w:rsidP="00725373">
      <w:pPr>
        <w:autoSpaceDE w:val="0"/>
        <w:autoSpaceDN w:val="0"/>
        <w:ind w:firstLine="400"/>
        <w:contextualSpacing/>
        <w:mirrorIndent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A836FD" w14:paraId="7D628769" w14:textId="77777777" w:rsidTr="00A836FD">
        <w:trPr>
          <w:trHeight w:val="170"/>
        </w:trPr>
        <w:tc>
          <w:tcPr>
            <w:tcW w:w="710" w:type="dxa"/>
            <w:shd w:val="clear" w:color="auto" w:fill="auto"/>
            <w:vAlign w:val="center"/>
            <w:hideMark/>
          </w:tcPr>
          <w:p w14:paraId="16E2CB1D" w14:textId="77777777" w:rsidR="005316B5" w:rsidRPr="00A836FD" w:rsidRDefault="005316B5" w:rsidP="00151481">
            <w:pPr>
              <w:jc w:val="center"/>
              <w:rPr>
                <w:b/>
                <w:bCs/>
                <w:color w:val="000000"/>
                <w:sz w:val="20"/>
                <w:szCs w:val="20"/>
              </w:rPr>
            </w:pPr>
            <w:r w:rsidRPr="00A836FD">
              <w:rPr>
                <w:b/>
                <w:bCs/>
                <w:color w:val="000000"/>
                <w:sz w:val="20"/>
                <w:szCs w:val="20"/>
              </w:rPr>
              <w:t>№ лота</w:t>
            </w:r>
          </w:p>
        </w:tc>
        <w:tc>
          <w:tcPr>
            <w:tcW w:w="3226" w:type="dxa"/>
            <w:shd w:val="clear" w:color="auto" w:fill="auto"/>
            <w:vAlign w:val="center"/>
            <w:hideMark/>
          </w:tcPr>
          <w:p w14:paraId="1596E0D1" w14:textId="77777777" w:rsidR="005316B5" w:rsidRPr="00A836FD" w:rsidRDefault="005316B5" w:rsidP="00151481">
            <w:pPr>
              <w:jc w:val="center"/>
              <w:rPr>
                <w:b/>
                <w:bCs/>
                <w:color w:val="000000"/>
                <w:sz w:val="20"/>
                <w:szCs w:val="20"/>
              </w:rPr>
            </w:pPr>
            <w:r w:rsidRPr="00A836FD">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A836FD" w:rsidRDefault="005316B5" w:rsidP="00151481">
            <w:pPr>
              <w:jc w:val="center"/>
              <w:rPr>
                <w:b/>
                <w:bCs/>
                <w:color w:val="000000"/>
                <w:sz w:val="20"/>
                <w:szCs w:val="20"/>
              </w:rPr>
            </w:pPr>
            <w:r w:rsidRPr="00A836FD">
              <w:rPr>
                <w:b/>
                <w:bCs/>
                <w:color w:val="000000"/>
                <w:sz w:val="20"/>
                <w:szCs w:val="20"/>
              </w:rPr>
              <w:t>Полная характеристика (описание) товара</w:t>
            </w:r>
          </w:p>
        </w:tc>
      </w:tr>
      <w:tr w:rsidR="00A836FD" w:rsidRPr="00A836FD" w14:paraId="136E34E2" w14:textId="77777777" w:rsidTr="00A836FD">
        <w:trPr>
          <w:trHeight w:val="170"/>
        </w:trPr>
        <w:tc>
          <w:tcPr>
            <w:tcW w:w="710" w:type="dxa"/>
            <w:shd w:val="clear" w:color="auto" w:fill="auto"/>
            <w:vAlign w:val="center"/>
          </w:tcPr>
          <w:p w14:paraId="7A92A279" w14:textId="77777777" w:rsidR="00A836FD" w:rsidRPr="00A836FD" w:rsidRDefault="00A836FD" w:rsidP="00A836FD">
            <w:pPr>
              <w:pStyle w:val="a8"/>
              <w:numPr>
                <w:ilvl w:val="0"/>
                <w:numId w:val="2"/>
              </w:numPr>
              <w:rPr>
                <w:b/>
                <w:bCs/>
                <w:color w:val="000000"/>
                <w:sz w:val="20"/>
                <w:szCs w:val="20"/>
              </w:rPr>
            </w:pPr>
          </w:p>
        </w:tc>
        <w:tc>
          <w:tcPr>
            <w:tcW w:w="3226" w:type="dxa"/>
            <w:tcBorders>
              <w:top w:val="nil"/>
              <w:left w:val="nil"/>
              <w:bottom w:val="single" w:sz="4" w:space="0" w:color="auto"/>
              <w:right w:val="single" w:sz="4" w:space="0" w:color="auto"/>
            </w:tcBorders>
            <w:shd w:val="clear" w:color="000000" w:fill="FFFFFF"/>
            <w:vAlign w:val="center"/>
          </w:tcPr>
          <w:p w14:paraId="667007D9" w14:textId="5300B73C" w:rsidR="00A836FD" w:rsidRPr="00A836FD" w:rsidRDefault="00A836FD" w:rsidP="00A836FD">
            <w:pPr>
              <w:rPr>
                <w:sz w:val="20"/>
                <w:szCs w:val="20"/>
              </w:rPr>
            </w:pPr>
            <w:r w:rsidRPr="00A836FD">
              <w:rPr>
                <w:sz w:val="20"/>
                <w:szCs w:val="20"/>
                <w:lang w:val="kk-KZ"/>
              </w:rPr>
              <w:t>Липкий коврик антибактериальный  для чистых помещений 1150*1120/ цвета голубой, зеленый, синий. В уп,-30 шт.- 40шт.</w:t>
            </w:r>
          </w:p>
        </w:tc>
        <w:tc>
          <w:tcPr>
            <w:tcW w:w="11056" w:type="dxa"/>
            <w:shd w:val="clear" w:color="auto" w:fill="auto"/>
            <w:vAlign w:val="center"/>
          </w:tcPr>
          <w:p w14:paraId="72E9EE77" w14:textId="3BA237E1" w:rsidR="00A836FD" w:rsidRPr="00A836FD" w:rsidRDefault="00A836FD" w:rsidP="00A836FD">
            <w:pPr>
              <w:rPr>
                <w:sz w:val="20"/>
                <w:szCs w:val="20"/>
              </w:rPr>
            </w:pPr>
            <w:r w:rsidRPr="00A836FD">
              <w:rPr>
                <w:sz w:val="20"/>
                <w:szCs w:val="20"/>
              </w:rPr>
              <w:t xml:space="preserve">Задерживают болезнетворные микроорганизмы и препятствуют распространению бацилл. Каждый лист коврика пронумерован, что позволяет точно определять остаточный срок эксплуатации коврика. Особо востребованы в областях здравоохранение и фармацевтике, пищевой промышленности, производстве микроэлектроники, оптики, окрасочных камер, а также в ракетно-космической и атомной промышленности, фитнес-центрах и детских учреждениях. Имеет специальную подкладку для приклеивания к полу, с целью </w:t>
            </w:r>
            <w:proofErr w:type="spellStart"/>
            <w:r w:rsidRPr="00A836FD">
              <w:rPr>
                <w:sz w:val="20"/>
                <w:szCs w:val="20"/>
              </w:rPr>
              <w:t>избежания</w:t>
            </w:r>
            <w:proofErr w:type="spellEnd"/>
            <w:r w:rsidRPr="00A836FD">
              <w:rPr>
                <w:sz w:val="20"/>
                <w:szCs w:val="20"/>
              </w:rPr>
              <w:t xml:space="preserve"> перемещения коврика.</w:t>
            </w:r>
          </w:p>
        </w:tc>
      </w:tr>
      <w:tr w:rsidR="00A836FD" w:rsidRPr="00A836FD" w14:paraId="59BA8A77" w14:textId="77777777" w:rsidTr="00A836FD">
        <w:trPr>
          <w:trHeight w:val="170"/>
        </w:trPr>
        <w:tc>
          <w:tcPr>
            <w:tcW w:w="710" w:type="dxa"/>
            <w:shd w:val="clear" w:color="auto" w:fill="auto"/>
            <w:vAlign w:val="center"/>
          </w:tcPr>
          <w:p w14:paraId="3B5452AB" w14:textId="77777777" w:rsidR="00A836FD" w:rsidRPr="00A836FD" w:rsidRDefault="00A836FD" w:rsidP="00A836FD">
            <w:pPr>
              <w:pStyle w:val="a8"/>
              <w:numPr>
                <w:ilvl w:val="0"/>
                <w:numId w:val="2"/>
              </w:numPr>
              <w:rPr>
                <w:b/>
                <w:bCs/>
                <w:color w:val="000000"/>
                <w:sz w:val="20"/>
                <w:szCs w:val="20"/>
              </w:rPr>
            </w:pPr>
          </w:p>
        </w:tc>
        <w:tc>
          <w:tcPr>
            <w:tcW w:w="3226" w:type="dxa"/>
            <w:tcBorders>
              <w:top w:val="nil"/>
              <w:left w:val="nil"/>
              <w:bottom w:val="single" w:sz="4" w:space="0" w:color="auto"/>
              <w:right w:val="single" w:sz="4" w:space="0" w:color="auto"/>
            </w:tcBorders>
            <w:shd w:val="clear" w:color="000000" w:fill="FFFFFF"/>
            <w:vAlign w:val="center"/>
          </w:tcPr>
          <w:p w14:paraId="2CF42D68" w14:textId="6BAEC8A0" w:rsidR="00A836FD" w:rsidRPr="00A836FD" w:rsidRDefault="00A836FD" w:rsidP="00A836FD">
            <w:pPr>
              <w:rPr>
                <w:sz w:val="20"/>
                <w:szCs w:val="20"/>
              </w:rPr>
            </w:pPr>
            <w:r w:rsidRPr="00A836FD">
              <w:rPr>
                <w:sz w:val="20"/>
                <w:szCs w:val="20"/>
                <w:lang w:val="kk-KZ"/>
              </w:rPr>
              <w:t>Перчатки диагностические нитриловые текстурированные неопудренные нестерильные</w:t>
            </w:r>
          </w:p>
        </w:tc>
        <w:tc>
          <w:tcPr>
            <w:tcW w:w="11056" w:type="dxa"/>
            <w:vAlign w:val="center"/>
          </w:tcPr>
          <w:p w14:paraId="3712725F" w14:textId="49CE735D" w:rsidR="00A836FD" w:rsidRPr="00A836FD" w:rsidRDefault="00A836FD" w:rsidP="00A836FD">
            <w:pPr>
              <w:rPr>
                <w:sz w:val="20"/>
                <w:szCs w:val="20"/>
              </w:rPr>
            </w:pPr>
            <w:r w:rsidRPr="00A836FD">
              <w:rPr>
                <w:sz w:val="20"/>
                <w:szCs w:val="20"/>
              </w:rPr>
              <w:t xml:space="preserve">Перчатки диагностические, </w:t>
            </w:r>
            <w:proofErr w:type="spellStart"/>
            <w:r w:rsidRPr="00A836FD">
              <w:rPr>
                <w:sz w:val="20"/>
                <w:szCs w:val="20"/>
              </w:rPr>
              <w:t>нитриловые</w:t>
            </w:r>
            <w:proofErr w:type="spellEnd"/>
            <w:r w:rsidRPr="00A836FD">
              <w:rPr>
                <w:sz w:val="20"/>
                <w:szCs w:val="20"/>
              </w:rPr>
              <w:t xml:space="preserve">, текстурированные, </w:t>
            </w:r>
            <w:proofErr w:type="spellStart"/>
            <w:r w:rsidRPr="00A836FD">
              <w:rPr>
                <w:sz w:val="20"/>
                <w:szCs w:val="20"/>
              </w:rPr>
              <w:t>неопудренные</w:t>
            </w:r>
            <w:proofErr w:type="spellEnd"/>
            <w:r w:rsidRPr="00A836FD">
              <w:rPr>
                <w:sz w:val="20"/>
                <w:szCs w:val="20"/>
              </w:rPr>
              <w:t>, нестерильные. Размерами: 6,5: 7; 7,5; 8, 8,5</w:t>
            </w:r>
          </w:p>
        </w:tc>
      </w:tr>
      <w:tr w:rsidR="00A836FD" w:rsidRPr="00A836FD" w14:paraId="124CE0FE" w14:textId="77777777" w:rsidTr="00A836FD">
        <w:trPr>
          <w:trHeight w:val="170"/>
        </w:trPr>
        <w:tc>
          <w:tcPr>
            <w:tcW w:w="710" w:type="dxa"/>
            <w:shd w:val="clear" w:color="auto" w:fill="auto"/>
            <w:vAlign w:val="center"/>
          </w:tcPr>
          <w:p w14:paraId="645EDCE8" w14:textId="77777777" w:rsidR="00A836FD" w:rsidRPr="00A836FD" w:rsidRDefault="00A836FD" w:rsidP="00A836FD">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vAlign w:val="center"/>
          </w:tcPr>
          <w:p w14:paraId="264D9CC8" w14:textId="3327DFC3" w:rsidR="00A836FD" w:rsidRPr="00A836FD" w:rsidRDefault="00A836FD" w:rsidP="00F0518C">
            <w:pPr>
              <w:rPr>
                <w:sz w:val="20"/>
                <w:szCs w:val="20"/>
              </w:rPr>
            </w:pPr>
            <w:r w:rsidRPr="00A836FD">
              <w:rPr>
                <w:sz w:val="20"/>
                <w:szCs w:val="20"/>
                <w:lang w:val="kk-KZ"/>
              </w:rPr>
              <w:t xml:space="preserve">Перчатки стерильные хирургические </w:t>
            </w:r>
          </w:p>
        </w:tc>
        <w:tc>
          <w:tcPr>
            <w:tcW w:w="11056" w:type="dxa"/>
            <w:shd w:val="clear" w:color="auto" w:fill="FFFFFF"/>
            <w:vAlign w:val="center"/>
          </w:tcPr>
          <w:p w14:paraId="0A8458BC" w14:textId="2B6732C4" w:rsidR="00A836FD" w:rsidRPr="00A836FD" w:rsidRDefault="00A836FD" w:rsidP="00A836FD">
            <w:pPr>
              <w:rPr>
                <w:sz w:val="20"/>
                <w:szCs w:val="20"/>
              </w:rPr>
            </w:pPr>
            <w:r w:rsidRPr="00A836FD">
              <w:rPr>
                <w:sz w:val="20"/>
                <w:szCs w:val="20"/>
              </w:rPr>
              <w:t xml:space="preserve">Латексные стерильные, </w:t>
            </w:r>
            <w:proofErr w:type="spellStart"/>
            <w:r w:rsidRPr="00A836FD">
              <w:rPr>
                <w:sz w:val="20"/>
                <w:szCs w:val="20"/>
              </w:rPr>
              <w:t>опудренные</w:t>
            </w:r>
            <w:proofErr w:type="spellEnd"/>
            <w:r w:rsidRPr="00A836FD">
              <w:rPr>
                <w:sz w:val="20"/>
                <w:szCs w:val="20"/>
              </w:rPr>
              <w:t>, хирургические перчатки. Размеры 6,5: 7; 7,5; 8, 8,5</w:t>
            </w:r>
          </w:p>
        </w:tc>
      </w:tr>
      <w:tr w:rsidR="00A836FD" w:rsidRPr="00A836FD" w14:paraId="43102E4A" w14:textId="77777777" w:rsidTr="00A836FD">
        <w:trPr>
          <w:trHeight w:val="170"/>
        </w:trPr>
        <w:tc>
          <w:tcPr>
            <w:tcW w:w="710" w:type="dxa"/>
            <w:shd w:val="clear" w:color="auto" w:fill="auto"/>
            <w:vAlign w:val="center"/>
          </w:tcPr>
          <w:p w14:paraId="696D5E7B" w14:textId="77777777" w:rsidR="00A836FD" w:rsidRPr="00A836FD" w:rsidRDefault="00A836FD" w:rsidP="00A836FD">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vAlign w:val="center"/>
          </w:tcPr>
          <w:p w14:paraId="23CE727F" w14:textId="5AF5C0EE" w:rsidR="00A836FD" w:rsidRPr="00A836FD" w:rsidRDefault="00A836FD" w:rsidP="00F0518C">
            <w:pPr>
              <w:rPr>
                <w:sz w:val="20"/>
                <w:szCs w:val="20"/>
              </w:rPr>
            </w:pPr>
            <w:r w:rsidRPr="00A836FD">
              <w:rPr>
                <w:sz w:val="20"/>
                <w:szCs w:val="20"/>
              </w:rPr>
              <w:t xml:space="preserve">Перчатки стерильные хирургические </w:t>
            </w:r>
            <w:r w:rsidR="00F0518C">
              <w:rPr>
                <w:sz w:val="20"/>
                <w:szCs w:val="20"/>
              </w:rPr>
              <w:t>усиленные</w:t>
            </w:r>
          </w:p>
        </w:tc>
        <w:tc>
          <w:tcPr>
            <w:tcW w:w="11056" w:type="dxa"/>
            <w:shd w:val="clear" w:color="auto" w:fill="FFFFFF"/>
            <w:vAlign w:val="center"/>
          </w:tcPr>
          <w:p w14:paraId="420B357F" w14:textId="37B21C0F" w:rsidR="00A836FD" w:rsidRPr="00A836FD" w:rsidRDefault="00A836FD" w:rsidP="00A836FD">
            <w:pPr>
              <w:rPr>
                <w:sz w:val="20"/>
                <w:szCs w:val="20"/>
                <w:lang w:val="kk-KZ"/>
              </w:rPr>
            </w:pPr>
            <w:r w:rsidRPr="00A836FD">
              <w:rPr>
                <w:sz w:val="20"/>
                <w:szCs w:val="20"/>
                <w:lang w:val="kk-KZ"/>
              </w:rPr>
              <w:t>Перчатки хирургические из натурального латекса стерильные для хирургических операций, требующих высокой тактильной чувствительности. Поверхность перчатки без опудривания для профилактики контактного дерматита. Внутреннее полиуретановое покрытие. Одинарная толщина (в области пальцев) не менее 0,13 мм, не более 0,17 мм для обеспечения высокой тактильной чувствительности. Перчатки анатомически правильной формы с расположением большого пальца в направлении ладони, пальцы прямые. Текстурный рисунок нанесен по всей наружной поверхности перчаток для улучшенного захвата инструментов. Цвет перчатки коричневый или черный для поглощения световых бликов. Краситель не токсичен. Манжета перчатки обрезана (без венчика), с адгезивной полосой для препятствия скатывания и сползания перчатки в процессе операции.  Светло-коричневый цвет эффективно поглощает световые блики от ярких источников света, снижает усталость глаз. Манжета без валика, с адгезивной полосой обеспечивает надежную фиксацию на рукаве халата. Низкое содержание протеинов латекса (менее 30 мкг/г) 50 пар в блоке. Латексные, анатомической формы, хирургические, стерильные, неопудренные, текстурированные, повышенной чувствительности -на 20% тоньше обычной хир.перчатки, внутренняя поверхность - силиконовое покрытие, толщина (средний палец) 0,17 мм, цвет - светло-коричневый, матовый, длина 285 мм, уплотненная манжета без валика с клейкой полоской, соответствует стандарту EN455, размеры: 7.5, 8.0, 8.5.</w:t>
            </w:r>
          </w:p>
        </w:tc>
      </w:tr>
      <w:tr w:rsidR="00A836FD" w:rsidRPr="00A836FD" w14:paraId="5B808310" w14:textId="77777777" w:rsidTr="00A836FD">
        <w:trPr>
          <w:trHeight w:val="170"/>
        </w:trPr>
        <w:tc>
          <w:tcPr>
            <w:tcW w:w="710" w:type="dxa"/>
            <w:shd w:val="clear" w:color="auto" w:fill="auto"/>
            <w:vAlign w:val="center"/>
          </w:tcPr>
          <w:p w14:paraId="60CD3350" w14:textId="77777777" w:rsidR="00A836FD" w:rsidRPr="00A836FD" w:rsidRDefault="00A836FD" w:rsidP="00A836FD">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vAlign w:val="center"/>
          </w:tcPr>
          <w:p w14:paraId="3B366DC9" w14:textId="308F199D" w:rsidR="00A836FD" w:rsidRPr="00A836FD" w:rsidRDefault="00A836FD" w:rsidP="00A836FD">
            <w:pPr>
              <w:rPr>
                <w:sz w:val="20"/>
                <w:szCs w:val="20"/>
              </w:rPr>
            </w:pPr>
            <w:r w:rsidRPr="00A836FD">
              <w:rPr>
                <w:sz w:val="20"/>
                <w:szCs w:val="20"/>
              </w:rPr>
              <w:t>Повязка воздухопроницаемая абсорбирующая 9× 35</w:t>
            </w:r>
          </w:p>
        </w:tc>
        <w:tc>
          <w:tcPr>
            <w:tcW w:w="11056" w:type="dxa"/>
            <w:shd w:val="clear" w:color="auto" w:fill="FFFFFF"/>
            <w:vAlign w:val="center"/>
          </w:tcPr>
          <w:p w14:paraId="321E9D2D" w14:textId="511C51EC" w:rsidR="00A836FD" w:rsidRPr="00A836FD" w:rsidRDefault="00A836FD" w:rsidP="00A836FD">
            <w:pPr>
              <w:rPr>
                <w:sz w:val="20"/>
                <w:szCs w:val="20"/>
                <w:lang w:val="kk-KZ"/>
              </w:rPr>
            </w:pPr>
            <w:r w:rsidRPr="00A836FD">
              <w:rPr>
                <w:sz w:val="20"/>
                <w:szCs w:val="20"/>
                <w:lang w:val="kk-KZ"/>
              </w:rPr>
              <w:t>Воздухопроницаемая,абсорбирующая, самоклеющася повязка 9×35см</w:t>
            </w:r>
          </w:p>
        </w:tc>
      </w:tr>
      <w:tr w:rsidR="00A836FD" w:rsidRPr="00A836FD" w14:paraId="61A8D6B3" w14:textId="77777777" w:rsidTr="00A836FD">
        <w:trPr>
          <w:trHeight w:val="170"/>
        </w:trPr>
        <w:tc>
          <w:tcPr>
            <w:tcW w:w="710" w:type="dxa"/>
            <w:shd w:val="clear" w:color="auto" w:fill="auto"/>
            <w:vAlign w:val="center"/>
          </w:tcPr>
          <w:p w14:paraId="0F513754" w14:textId="77777777" w:rsidR="00A836FD" w:rsidRPr="00A836FD" w:rsidRDefault="00A836FD" w:rsidP="00A836FD">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vAlign w:val="center"/>
          </w:tcPr>
          <w:p w14:paraId="39C4510E" w14:textId="20F757A2" w:rsidR="00A836FD" w:rsidRPr="00A836FD" w:rsidRDefault="00A836FD" w:rsidP="00F0518C">
            <w:pPr>
              <w:rPr>
                <w:sz w:val="20"/>
                <w:szCs w:val="20"/>
              </w:rPr>
            </w:pPr>
            <w:r w:rsidRPr="00A836FD">
              <w:rPr>
                <w:sz w:val="20"/>
                <w:szCs w:val="20"/>
              </w:rPr>
              <w:t xml:space="preserve">Халат хирургический одноразовый стерильный </w:t>
            </w:r>
          </w:p>
        </w:tc>
        <w:tc>
          <w:tcPr>
            <w:tcW w:w="11056" w:type="dxa"/>
            <w:shd w:val="clear" w:color="auto" w:fill="FFFFFF"/>
            <w:vAlign w:val="center"/>
          </w:tcPr>
          <w:p w14:paraId="7F1BA787" w14:textId="77777777" w:rsidR="00A836FD" w:rsidRPr="00A836FD" w:rsidRDefault="00A836FD" w:rsidP="00A836FD">
            <w:pPr>
              <w:rPr>
                <w:sz w:val="20"/>
                <w:szCs w:val="20"/>
                <w:lang w:val="kk-KZ"/>
              </w:rPr>
            </w:pPr>
            <w:r w:rsidRPr="00A836FD">
              <w:rPr>
                <w:sz w:val="20"/>
                <w:szCs w:val="20"/>
                <w:lang w:val="kk-KZ"/>
              </w:rPr>
              <w:t>Халат хирургический плотность  не менее 69 г/м2 стерильный</w:t>
            </w:r>
          </w:p>
          <w:p w14:paraId="3B666120" w14:textId="62F6D4DC" w:rsidR="00A836FD" w:rsidRPr="00A836FD" w:rsidRDefault="00A836FD" w:rsidP="00A836FD">
            <w:pPr>
              <w:rPr>
                <w:sz w:val="20"/>
                <w:szCs w:val="20"/>
                <w:lang w:val="kk-KZ"/>
              </w:rPr>
            </w:pPr>
            <w:r w:rsidRPr="00A836FD">
              <w:rPr>
                <w:sz w:val="20"/>
                <w:szCs w:val="20"/>
                <w:lang w:val="kk-KZ"/>
              </w:rPr>
              <w:t>-Халат с усиленной зоной по всему полотну, трикотажные манжеты из рибаны-полотна., плотностью не менее 69г/м2 Длина от точки основания шеи до низа 140 см, ширина в развернутом виде (по низу) 166 см, длина рукава от точки основания шеи до низа рукава 82,1 см, армированная часть рукава длиной 40 см, ширина армированной груди 50 см, длина 50-60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w:t>
            </w:r>
          </w:p>
        </w:tc>
      </w:tr>
      <w:tr w:rsidR="00A836FD" w:rsidRPr="00A836FD" w14:paraId="3C934D1D" w14:textId="77777777" w:rsidTr="00A836FD">
        <w:trPr>
          <w:trHeight w:val="170"/>
        </w:trPr>
        <w:tc>
          <w:tcPr>
            <w:tcW w:w="710" w:type="dxa"/>
            <w:shd w:val="clear" w:color="auto" w:fill="auto"/>
            <w:vAlign w:val="center"/>
          </w:tcPr>
          <w:p w14:paraId="700EFDEA" w14:textId="77777777" w:rsidR="00A836FD" w:rsidRPr="00A836FD" w:rsidRDefault="00A836FD" w:rsidP="00A836FD">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vAlign w:val="center"/>
          </w:tcPr>
          <w:p w14:paraId="0A2FF8DD" w14:textId="5A217739" w:rsidR="00A836FD" w:rsidRPr="00A836FD" w:rsidRDefault="00A836FD" w:rsidP="00F0518C">
            <w:pPr>
              <w:rPr>
                <w:sz w:val="20"/>
                <w:szCs w:val="20"/>
              </w:rPr>
            </w:pPr>
            <w:r w:rsidRPr="00A836FD">
              <w:rPr>
                <w:sz w:val="20"/>
                <w:szCs w:val="20"/>
              </w:rPr>
              <w:t xml:space="preserve">Халат хирургический одноразовый стерильный </w:t>
            </w:r>
            <w:r w:rsidR="00F0518C">
              <w:rPr>
                <w:sz w:val="20"/>
                <w:szCs w:val="20"/>
              </w:rPr>
              <w:t xml:space="preserve">усиленный </w:t>
            </w:r>
            <w:bookmarkStart w:id="0" w:name="_GoBack"/>
            <w:bookmarkEnd w:id="0"/>
          </w:p>
        </w:tc>
        <w:tc>
          <w:tcPr>
            <w:tcW w:w="11056" w:type="dxa"/>
            <w:shd w:val="clear" w:color="auto" w:fill="FFFFFF"/>
            <w:vAlign w:val="center"/>
          </w:tcPr>
          <w:p w14:paraId="6D6AFDB0" w14:textId="4B3FA863" w:rsidR="00A836FD" w:rsidRPr="00A836FD" w:rsidRDefault="00A836FD" w:rsidP="00A836FD">
            <w:pPr>
              <w:rPr>
                <w:sz w:val="20"/>
                <w:szCs w:val="20"/>
                <w:lang w:val="kk-KZ"/>
              </w:rPr>
            </w:pPr>
            <w:r w:rsidRPr="00A836FD">
              <w:rPr>
                <w:sz w:val="20"/>
                <w:szCs w:val="20"/>
                <w:lang w:val="kk-KZ"/>
              </w:rPr>
              <w:t>Халат усиленный хирургический из нетканого материала одноразовый. Халат состоит из двух слоев – основной слой SMMS и усиленный слой. Суммарная плотность усиленного халата 85 грамм на м2. Четырехслойный нетканый материал SMMS плотность 45 грамм на м2 плюс нетканый материал не менее 40 грамм на м2.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Усиленная часть рукава составляет 42 см. Расстояние между вырезом до усиленной части на груди 20 см. Длина усиленной части на груди 80 см, ширина усиленной части в области груди 50 см. Усиление проклеить по всему периметру. Халат имеет на спинке фиксатор , бумажный фиксатор для поясных завязок и две целлюлозные салфетки для рук. Халат спаян ультразвуковым швом, манжета на рукавах сшита системой обмётывание предотвращает осыпание (распускание) срезов материалов из трикотажного материала с высоким содержанием хлопка. Размер XL</w:t>
            </w:r>
          </w:p>
        </w:tc>
      </w:tr>
    </w:tbl>
    <w:p w14:paraId="681DBADE" w14:textId="77777777" w:rsidR="003B26F5" w:rsidRPr="00A836FD" w:rsidRDefault="003B26F5" w:rsidP="00815C43">
      <w:pPr>
        <w:rPr>
          <w:b/>
          <w:sz w:val="20"/>
          <w:szCs w:val="20"/>
          <w:lang w:val="kk-KZ"/>
        </w:rPr>
      </w:pPr>
    </w:p>
    <w:sectPr w:rsidR="003B26F5" w:rsidRPr="00A836FD" w:rsidSect="002776EB">
      <w:footerReference w:type="default" r:id="rId8"/>
      <w:pgSz w:w="16838" w:h="11906" w:orient="landscape"/>
      <w:pgMar w:top="70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A6"/>
    <w:rsid w:val="00004F49"/>
    <w:rsid w:val="000258CD"/>
    <w:rsid w:val="0004378E"/>
    <w:rsid w:val="00044F00"/>
    <w:rsid w:val="000A7362"/>
    <w:rsid w:val="00151481"/>
    <w:rsid w:val="00171263"/>
    <w:rsid w:val="00201D3B"/>
    <w:rsid w:val="002220F9"/>
    <w:rsid w:val="00256FA5"/>
    <w:rsid w:val="002776EB"/>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815C43"/>
    <w:rsid w:val="0084707A"/>
    <w:rsid w:val="00864445"/>
    <w:rsid w:val="0089471B"/>
    <w:rsid w:val="008C491C"/>
    <w:rsid w:val="008D50E4"/>
    <w:rsid w:val="008D6F7C"/>
    <w:rsid w:val="008E72A4"/>
    <w:rsid w:val="00950A2A"/>
    <w:rsid w:val="0095637F"/>
    <w:rsid w:val="00961508"/>
    <w:rsid w:val="00A836FD"/>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F2FF0"/>
    <w:rsid w:val="00F0518C"/>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68B6-D3B2-46D7-B578-B1E74D1C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29</cp:revision>
  <cp:lastPrinted>2023-01-30T05:48:00Z</cp:lastPrinted>
  <dcterms:created xsi:type="dcterms:W3CDTF">2022-02-26T03:42:00Z</dcterms:created>
  <dcterms:modified xsi:type="dcterms:W3CDTF">2025-01-17T05:30:00Z</dcterms:modified>
</cp:coreProperties>
</file>