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7B75" w14:textId="77777777" w:rsidR="007E17E1" w:rsidRPr="00130718" w:rsidRDefault="007E17E1" w:rsidP="007E17E1">
      <w:pPr>
        <w:pStyle w:val="a3"/>
        <w:spacing w:before="0" w:beforeAutospacing="0" w:after="0" w:afterAutospacing="0"/>
        <w:ind w:left="5387" w:right="-468"/>
        <w:jc w:val="right"/>
        <w:rPr>
          <w:b/>
          <w:sz w:val="28"/>
          <w:szCs w:val="28"/>
        </w:rPr>
      </w:pPr>
      <w:r w:rsidRPr="00130718">
        <w:rPr>
          <w:b/>
          <w:sz w:val="28"/>
          <w:szCs w:val="28"/>
        </w:rPr>
        <w:t>«УТВЕРЖДАЮ»</w:t>
      </w:r>
    </w:p>
    <w:p w14:paraId="0EACF39A" w14:textId="77777777" w:rsidR="007E17E1" w:rsidRDefault="007E17E1" w:rsidP="007E17E1">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1C0A01FC" w14:textId="77777777" w:rsidR="007E17E1" w:rsidRPr="00130718" w:rsidRDefault="007E17E1" w:rsidP="007E17E1">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6FAEC60" w14:textId="77777777" w:rsidR="007E17E1" w:rsidRDefault="007E17E1" w:rsidP="007E17E1">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31C1788D" w14:textId="064DBA3F" w:rsidR="00764AD7" w:rsidRPr="00DA39BB" w:rsidRDefault="00DA39BB" w:rsidP="00764AD7">
      <w:pPr>
        <w:pStyle w:val="a3"/>
        <w:spacing w:before="0" w:beforeAutospacing="0" w:after="0" w:afterAutospacing="0"/>
        <w:ind w:right="-468"/>
        <w:jc w:val="center"/>
        <w:rPr>
          <w:b/>
          <w:sz w:val="28"/>
          <w:szCs w:val="28"/>
          <w:lang w:val="kk-KZ"/>
        </w:rPr>
      </w:pPr>
      <w:r>
        <w:rPr>
          <w:b/>
          <w:sz w:val="28"/>
          <w:szCs w:val="28"/>
          <w:lang w:val="kk-KZ"/>
        </w:rPr>
        <w:t>Ц</w:t>
      </w:r>
      <w:bookmarkStart w:id="0" w:name="_GoBack"/>
      <w:bookmarkEnd w:id="0"/>
      <w:proofErr w:type="spellStart"/>
      <w:r w:rsidR="00A1778A" w:rsidRPr="00A1778A">
        <w:rPr>
          <w:b/>
          <w:sz w:val="28"/>
          <w:szCs w:val="28"/>
        </w:rPr>
        <w:t>ветн</w:t>
      </w:r>
      <w:proofErr w:type="spellEnd"/>
      <w:r>
        <w:rPr>
          <w:b/>
          <w:sz w:val="28"/>
          <w:szCs w:val="28"/>
          <w:lang w:val="kk-KZ"/>
        </w:rPr>
        <w:t>ой</w:t>
      </w:r>
      <w:r w:rsidR="00A1778A" w:rsidRPr="00A1778A">
        <w:rPr>
          <w:b/>
          <w:sz w:val="28"/>
          <w:szCs w:val="28"/>
        </w:rPr>
        <w:t xml:space="preserve"> картридж</w:t>
      </w:r>
      <w:r>
        <w:rPr>
          <w:b/>
          <w:sz w:val="28"/>
          <w:szCs w:val="28"/>
          <w:lang w:val="kk-KZ"/>
        </w:rPr>
        <w:t xml:space="preserve"> </w:t>
      </w:r>
      <w:r w:rsidRPr="00DA39BB">
        <w:rPr>
          <w:b/>
          <w:sz w:val="28"/>
          <w:szCs w:val="28"/>
          <w:lang w:val="kk-KZ"/>
        </w:rPr>
        <w:t>W2031A</w:t>
      </w:r>
    </w:p>
    <w:p w14:paraId="663A7756" w14:textId="77777777" w:rsidR="00C612D9" w:rsidRDefault="00C612D9"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6BBC3892" w14:textId="77777777" w:rsidR="00DA39BB" w:rsidRDefault="00DA39BB" w:rsidP="00DA3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p w14:paraId="54F27132" w14:textId="1FFCEA78" w:rsidR="00DA39BB" w:rsidRPr="00DA39BB" w:rsidRDefault="00DA39BB" w:rsidP="00DA3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56343D">
        <w:trPr>
          <w:trHeight w:val="115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655DDC49" w:rsidR="00764AD7" w:rsidRPr="00764AD7" w:rsidRDefault="00DA39BB" w:rsidP="00DA39B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Цветной картридж</w:t>
            </w:r>
            <w:r w:rsidR="00764AD7" w:rsidRPr="00764AD7">
              <w:rPr>
                <w:rFonts w:ascii="Times New Roman" w:hAnsi="Times New Roman" w:cs="Times New Roman"/>
                <w:sz w:val="24"/>
                <w:szCs w:val="24"/>
              </w:rPr>
              <w:t xml:space="preserve"> </w:t>
            </w:r>
            <w:r w:rsidRPr="002B0948">
              <w:rPr>
                <w:rFonts w:ascii="Times New Roman" w:hAnsi="Times New Roman" w:cs="Times New Roman"/>
                <w:sz w:val="24"/>
                <w:szCs w:val="24"/>
                <w:shd w:val="clear" w:color="auto" w:fill="FFFFFF"/>
              </w:rPr>
              <w:t>W2031A</w:t>
            </w:r>
          </w:p>
        </w:tc>
        <w:tc>
          <w:tcPr>
            <w:tcW w:w="1016" w:type="pct"/>
          </w:tcPr>
          <w:p w14:paraId="36E25E43" w14:textId="369E37B6" w:rsidR="00DA39BB" w:rsidRPr="00A1778A" w:rsidRDefault="00501035" w:rsidP="00DA39B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w:t>
            </w:r>
            <w:r w:rsidR="008F0D77">
              <w:rPr>
                <w:rFonts w:ascii="Times New Roman" w:hAnsi="Times New Roman" w:cs="Times New Roman"/>
                <w:sz w:val="24"/>
                <w:szCs w:val="24"/>
                <w:lang w:val="kk-KZ"/>
              </w:rPr>
              <w:t xml:space="preserve"> </w:t>
            </w:r>
            <w:r w:rsidR="00DA39BB">
              <w:rPr>
                <w:rFonts w:ascii="Times New Roman" w:hAnsi="Times New Roman" w:cs="Times New Roman"/>
                <w:sz w:val="24"/>
                <w:szCs w:val="24"/>
                <w:lang w:val="kk-KZ"/>
              </w:rPr>
              <w:t>шт.</w:t>
            </w:r>
          </w:p>
          <w:p w14:paraId="676F0E40" w14:textId="44BBD363" w:rsidR="00764AD7" w:rsidRPr="00A1778A" w:rsidRDefault="00764AD7" w:rsidP="00B073A0">
            <w:pPr>
              <w:spacing w:after="0" w:line="240" w:lineRule="auto"/>
              <w:jc w:val="center"/>
              <w:rPr>
                <w:rFonts w:ascii="Times New Roman" w:hAnsi="Times New Roman" w:cs="Times New Roman"/>
                <w:sz w:val="24"/>
                <w:szCs w:val="24"/>
              </w:rPr>
            </w:pP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40F34F73" w:rsidR="00B93694" w:rsidRPr="00C42D69" w:rsidRDefault="00AA426C" w:rsidP="00B93694">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Персональный компьютер</w:t>
      </w:r>
      <w:r w:rsidR="00B93694" w:rsidRPr="00C42D69">
        <w:rPr>
          <w:rFonts w:ascii="Times New Roman" w:hAnsi="Times New Roman" w:cs="Times New Roman"/>
          <w:b/>
          <w:sz w:val="28"/>
          <w:szCs w:val="28"/>
        </w:rPr>
        <w:t xml:space="preserve"> включает в себя:</w:t>
      </w:r>
    </w:p>
    <w:tbl>
      <w:tblPr>
        <w:tblW w:w="9493" w:type="dxa"/>
        <w:tblLook w:val="04A0" w:firstRow="1" w:lastRow="0" w:firstColumn="1" w:lastColumn="0" w:noHBand="0" w:noVBand="1"/>
      </w:tblPr>
      <w:tblGrid>
        <w:gridCol w:w="456"/>
        <w:gridCol w:w="2641"/>
        <w:gridCol w:w="5129"/>
        <w:gridCol w:w="1267"/>
      </w:tblGrid>
      <w:tr w:rsidR="009A0116" w:rsidRPr="009A0116" w14:paraId="18300F14"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7F9105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w:t>
            </w:r>
          </w:p>
        </w:tc>
        <w:tc>
          <w:tcPr>
            <w:tcW w:w="2641" w:type="dxa"/>
            <w:tcBorders>
              <w:top w:val="single" w:sz="4" w:space="0" w:color="000000"/>
              <w:left w:val="single" w:sz="4" w:space="0" w:color="000000"/>
              <w:bottom w:val="single" w:sz="4" w:space="0" w:color="000000"/>
              <w:right w:val="single" w:sz="4" w:space="0" w:color="000000"/>
            </w:tcBorders>
            <w:vAlign w:val="center"/>
          </w:tcPr>
          <w:p w14:paraId="78F4792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b/>
                <w:bCs/>
                <w:sz w:val="24"/>
                <w:szCs w:val="24"/>
              </w:rPr>
              <w:t>Наименование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92B3"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Характеристика</w:t>
            </w:r>
          </w:p>
        </w:tc>
        <w:tc>
          <w:tcPr>
            <w:tcW w:w="1267" w:type="dxa"/>
            <w:tcBorders>
              <w:top w:val="single" w:sz="4" w:space="0" w:color="000000"/>
              <w:left w:val="single" w:sz="4" w:space="0" w:color="000000"/>
              <w:bottom w:val="single" w:sz="4" w:space="0" w:color="000000"/>
              <w:right w:val="single" w:sz="4" w:space="0" w:color="000000"/>
            </w:tcBorders>
            <w:vAlign w:val="center"/>
          </w:tcPr>
          <w:p w14:paraId="7080CC71"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Гарантия (мес.)</w:t>
            </w:r>
          </w:p>
        </w:tc>
      </w:tr>
      <w:tr w:rsidR="008F0D77" w:rsidRPr="009A0116" w14:paraId="2AEBFF05"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6BF27D8"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1</w:t>
            </w:r>
          </w:p>
        </w:tc>
        <w:tc>
          <w:tcPr>
            <w:tcW w:w="2641" w:type="dxa"/>
            <w:tcBorders>
              <w:top w:val="single" w:sz="4" w:space="0" w:color="000000"/>
              <w:left w:val="single" w:sz="4" w:space="0" w:color="000000"/>
              <w:bottom w:val="single" w:sz="4" w:space="0" w:color="000000"/>
              <w:right w:val="single" w:sz="4" w:space="0" w:color="000000"/>
            </w:tcBorders>
            <w:vAlign w:val="center"/>
          </w:tcPr>
          <w:p w14:paraId="6E683812" w14:textId="6E1EE862"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Модель</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09FE" w14:textId="043F24EF" w:rsidR="008F0D77" w:rsidRPr="009A0116" w:rsidRDefault="00502920" w:rsidP="00DA39BB">
            <w:pPr>
              <w:spacing w:after="0" w:line="240" w:lineRule="auto"/>
              <w:rPr>
                <w:rFonts w:ascii="Times New Roman" w:eastAsia="Times New Roman" w:hAnsi="Times New Roman" w:cs="Times New Roman"/>
                <w:sz w:val="24"/>
                <w:szCs w:val="24"/>
                <w:lang w:val="en-US"/>
              </w:rPr>
            </w:pPr>
            <w:r w:rsidRPr="002B0948">
              <w:rPr>
                <w:rFonts w:ascii="Times New Roman" w:hAnsi="Times New Roman" w:cs="Times New Roman"/>
                <w:sz w:val="24"/>
                <w:szCs w:val="24"/>
                <w:shd w:val="clear" w:color="auto" w:fill="FFFFFF"/>
              </w:rPr>
              <w:t>W2031A</w:t>
            </w:r>
          </w:p>
        </w:tc>
        <w:tc>
          <w:tcPr>
            <w:tcW w:w="1267" w:type="dxa"/>
            <w:tcBorders>
              <w:top w:val="single" w:sz="4" w:space="0" w:color="000000"/>
              <w:left w:val="single" w:sz="4" w:space="0" w:color="000000"/>
              <w:bottom w:val="single" w:sz="4" w:space="0" w:color="000000"/>
              <w:right w:val="single" w:sz="4" w:space="0" w:color="000000"/>
            </w:tcBorders>
          </w:tcPr>
          <w:p w14:paraId="2D582E11" w14:textId="36DBC997"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AA5AFEB"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3AA3292D"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2</w:t>
            </w:r>
          </w:p>
        </w:tc>
        <w:tc>
          <w:tcPr>
            <w:tcW w:w="2641" w:type="dxa"/>
            <w:tcBorders>
              <w:top w:val="nil"/>
              <w:left w:val="single" w:sz="4" w:space="0" w:color="000000"/>
              <w:bottom w:val="single" w:sz="4" w:space="0" w:color="000000"/>
              <w:right w:val="single" w:sz="4" w:space="0" w:color="000000"/>
            </w:tcBorders>
            <w:vAlign w:val="center"/>
          </w:tcPr>
          <w:p w14:paraId="206F6C54" w14:textId="6E089F7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Тип</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D9BA935" w14:textId="5BD9AA16" w:rsidR="008F0D77" w:rsidRPr="009A0116" w:rsidRDefault="008F0D77" w:rsidP="008F0D77">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rPr>
              <w:t>Тонер-картридж</w:t>
            </w:r>
          </w:p>
        </w:tc>
        <w:tc>
          <w:tcPr>
            <w:tcW w:w="1267" w:type="dxa"/>
            <w:tcBorders>
              <w:top w:val="nil"/>
              <w:left w:val="single" w:sz="4" w:space="0" w:color="000000"/>
              <w:bottom w:val="single" w:sz="4" w:space="0" w:color="000000"/>
              <w:right w:val="single" w:sz="4" w:space="0" w:color="000000"/>
            </w:tcBorders>
            <w:vAlign w:val="center"/>
          </w:tcPr>
          <w:p w14:paraId="07B7362A" w14:textId="7551BCB8"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51D3071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615A88DC"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3</w:t>
            </w:r>
          </w:p>
        </w:tc>
        <w:tc>
          <w:tcPr>
            <w:tcW w:w="2641" w:type="dxa"/>
            <w:tcBorders>
              <w:top w:val="nil"/>
              <w:left w:val="single" w:sz="4" w:space="0" w:color="000000"/>
              <w:bottom w:val="single" w:sz="4" w:space="0" w:color="000000"/>
              <w:right w:val="single" w:sz="4" w:space="0" w:color="000000"/>
            </w:tcBorders>
            <w:vAlign w:val="center"/>
          </w:tcPr>
          <w:p w14:paraId="69414C7E" w14:textId="485EE788"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Совместимость по бренду</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9205F2F" w14:textId="7BE5289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HP</w:t>
            </w:r>
          </w:p>
        </w:tc>
        <w:tc>
          <w:tcPr>
            <w:tcW w:w="1267" w:type="dxa"/>
            <w:tcBorders>
              <w:top w:val="nil"/>
              <w:left w:val="single" w:sz="4" w:space="0" w:color="000000"/>
              <w:bottom w:val="single" w:sz="4" w:space="0" w:color="000000"/>
              <w:right w:val="single" w:sz="4" w:space="0" w:color="000000"/>
            </w:tcBorders>
            <w:vAlign w:val="center"/>
          </w:tcPr>
          <w:p w14:paraId="39F046A5" w14:textId="68516522"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25500985"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27C43E26"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4</w:t>
            </w:r>
          </w:p>
        </w:tc>
        <w:tc>
          <w:tcPr>
            <w:tcW w:w="2641" w:type="dxa"/>
            <w:tcBorders>
              <w:top w:val="nil"/>
              <w:left w:val="single" w:sz="4" w:space="0" w:color="000000"/>
              <w:bottom w:val="single" w:sz="4" w:space="0" w:color="000000"/>
              <w:right w:val="single" w:sz="4" w:space="0" w:color="000000"/>
            </w:tcBorders>
            <w:vAlign w:val="center"/>
          </w:tcPr>
          <w:p w14:paraId="2E90F925" w14:textId="21522C8D"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Тип картриджа</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AB2C2E8" w14:textId="6883EA06" w:rsidR="008F0D77" w:rsidRPr="009A0116" w:rsidRDefault="008F0D77" w:rsidP="008F0D77">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shd w:val="clear" w:color="auto" w:fill="FFFFFF"/>
                <w:lang w:val="kk-KZ"/>
              </w:rPr>
              <w:t>Аналог</w:t>
            </w:r>
          </w:p>
        </w:tc>
        <w:tc>
          <w:tcPr>
            <w:tcW w:w="1267" w:type="dxa"/>
            <w:tcBorders>
              <w:top w:val="nil"/>
              <w:left w:val="single" w:sz="4" w:space="0" w:color="000000"/>
              <w:bottom w:val="single" w:sz="4" w:space="0" w:color="000000"/>
              <w:right w:val="single" w:sz="4" w:space="0" w:color="000000"/>
            </w:tcBorders>
            <w:vAlign w:val="center"/>
          </w:tcPr>
          <w:p w14:paraId="06EBF62E" w14:textId="20A0BC2E"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CE34D0C" w14:textId="77777777" w:rsidTr="008F0D77">
        <w:trPr>
          <w:trHeight w:val="720"/>
        </w:trPr>
        <w:tc>
          <w:tcPr>
            <w:tcW w:w="456" w:type="dxa"/>
            <w:tcBorders>
              <w:top w:val="nil"/>
              <w:left w:val="single" w:sz="4" w:space="0" w:color="000000"/>
              <w:bottom w:val="single" w:sz="4" w:space="0" w:color="000000"/>
              <w:right w:val="single" w:sz="4" w:space="0" w:color="000000"/>
            </w:tcBorders>
            <w:vAlign w:val="center"/>
          </w:tcPr>
          <w:p w14:paraId="0A89FFBF"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5</w:t>
            </w:r>
          </w:p>
        </w:tc>
        <w:tc>
          <w:tcPr>
            <w:tcW w:w="2641" w:type="dxa"/>
            <w:tcBorders>
              <w:top w:val="nil"/>
              <w:left w:val="single" w:sz="4" w:space="0" w:color="000000"/>
              <w:bottom w:val="single" w:sz="4" w:space="0" w:color="000000"/>
              <w:right w:val="single" w:sz="4" w:space="0" w:color="000000"/>
            </w:tcBorders>
            <w:vAlign w:val="center"/>
          </w:tcPr>
          <w:p w14:paraId="6B25005A" w14:textId="27B5C8FD" w:rsidR="008F0D77" w:rsidRPr="009A0116" w:rsidRDefault="008F0D77" w:rsidP="008F0D77">
            <w:pPr>
              <w:shd w:val="clear" w:color="auto" w:fill="FFFFFF"/>
              <w:spacing w:after="0" w:line="240" w:lineRule="auto"/>
              <w:rPr>
                <w:rFonts w:ascii="Times New Roman" w:eastAsia="Times New Roman" w:hAnsi="Times New Roman" w:cs="Times New Roman"/>
                <w:sz w:val="24"/>
                <w:szCs w:val="24"/>
                <w:lang w:val="en-US"/>
              </w:rPr>
            </w:pPr>
            <w:r w:rsidRPr="008F0D77">
              <w:rPr>
                <w:rFonts w:ascii="Times New Roman" w:eastAsia="Times New Roman" w:hAnsi="Times New Roman" w:cs="Times New Roman"/>
                <w:sz w:val="24"/>
                <w:szCs w:val="24"/>
              </w:rPr>
              <w:t>Тип печати</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58B5EDB" w14:textId="03EC5F77" w:rsidR="008F0D77" w:rsidRPr="008F0D77" w:rsidRDefault="008F0D77" w:rsidP="008F0D77">
            <w:pPr>
              <w:spacing w:after="0" w:line="240" w:lineRule="auto"/>
              <w:rPr>
                <w:rFonts w:ascii="Times New Roman" w:eastAsia="Times New Roman" w:hAnsi="Times New Roman" w:cs="Times New Roman"/>
                <w:sz w:val="24"/>
                <w:szCs w:val="24"/>
                <w:lang w:val="kk-KZ"/>
              </w:rPr>
            </w:pPr>
            <w:r w:rsidRPr="008F0D77">
              <w:rPr>
                <w:rFonts w:ascii="Times New Roman" w:hAnsi="Times New Roman" w:cs="Times New Roman"/>
                <w:sz w:val="24"/>
                <w:szCs w:val="24"/>
                <w:shd w:val="clear" w:color="auto" w:fill="FFFFFF"/>
                <w:lang w:val="kk-KZ"/>
              </w:rPr>
              <w:t>Лазерная</w:t>
            </w:r>
          </w:p>
        </w:tc>
        <w:tc>
          <w:tcPr>
            <w:tcW w:w="1267" w:type="dxa"/>
            <w:tcBorders>
              <w:top w:val="nil"/>
              <w:left w:val="single" w:sz="4" w:space="0" w:color="000000"/>
              <w:bottom w:val="single" w:sz="4" w:space="0" w:color="000000"/>
              <w:right w:val="single" w:sz="4" w:space="0" w:color="000000"/>
            </w:tcBorders>
            <w:vAlign w:val="center"/>
          </w:tcPr>
          <w:p w14:paraId="4EC2A93C" w14:textId="7AEFEB4F"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0588086C"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570F8E9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6</w:t>
            </w:r>
          </w:p>
        </w:tc>
        <w:tc>
          <w:tcPr>
            <w:tcW w:w="2641" w:type="dxa"/>
            <w:tcBorders>
              <w:top w:val="nil"/>
              <w:left w:val="single" w:sz="4" w:space="0" w:color="000000"/>
              <w:bottom w:val="single" w:sz="4" w:space="0" w:color="000000"/>
              <w:right w:val="single" w:sz="4" w:space="0" w:color="000000"/>
            </w:tcBorders>
            <w:shd w:val="clear" w:color="auto" w:fill="auto"/>
            <w:vAlign w:val="center"/>
          </w:tcPr>
          <w:p w14:paraId="0ADD15EA" w14:textId="1E170BA2" w:rsidR="008F0D77" w:rsidRPr="008F0D77"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Цвет</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5E9E5F30" w14:textId="005D5DCB" w:rsidR="008F0D77" w:rsidRPr="008F0D77" w:rsidRDefault="00502920" w:rsidP="00DA39BB">
            <w:pPr>
              <w:spacing w:after="0" w:line="240" w:lineRule="auto"/>
              <w:rPr>
                <w:rFonts w:ascii="Times New Roman" w:eastAsia="Times New Roman" w:hAnsi="Times New Roman" w:cs="Times New Roman"/>
                <w:sz w:val="24"/>
                <w:szCs w:val="24"/>
                <w:lang w:val="en-US"/>
              </w:rPr>
            </w:pPr>
            <w:r w:rsidRPr="002B0948">
              <w:rPr>
                <w:rFonts w:ascii="Times New Roman" w:hAnsi="Times New Roman" w:cs="Times New Roman"/>
                <w:sz w:val="24"/>
                <w:szCs w:val="24"/>
                <w:shd w:val="clear" w:color="auto" w:fill="FFFFFF"/>
              </w:rPr>
              <w:t>Синий</w:t>
            </w:r>
          </w:p>
        </w:tc>
        <w:tc>
          <w:tcPr>
            <w:tcW w:w="1267" w:type="dxa"/>
            <w:tcBorders>
              <w:top w:val="nil"/>
              <w:left w:val="single" w:sz="4" w:space="0" w:color="000000"/>
              <w:bottom w:val="single" w:sz="4" w:space="0" w:color="000000"/>
              <w:right w:val="single" w:sz="4" w:space="0" w:color="000000"/>
            </w:tcBorders>
            <w:vAlign w:val="center"/>
          </w:tcPr>
          <w:p w14:paraId="7CB6A294" w14:textId="567A65F6"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7DBEBE5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4EB7C6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7</w:t>
            </w:r>
          </w:p>
        </w:tc>
        <w:tc>
          <w:tcPr>
            <w:tcW w:w="2641" w:type="dxa"/>
            <w:tcBorders>
              <w:top w:val="nil"/>
              <w:left w:val="single" w:sz="4" w:space="0" w:color="000000"/>
              <w:bottom w:val="single" w:sz="4" w:space="0" w:color="000000"/>
              <w:right w:val="single" w:sz="4" w:space="0" w:color="000000"/>
            </w:tcBorders>
            <w:vAlign w:val="center"/>
          </w:tcPr>
          <w:p w14:paraId="7B3641CE" w14:textId="5055F519" w:rsidR="008F0D77" w:rsidRPr="009A0116"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hAnsi="Times New Roman" w:cs="Times New Roman"/>
                <w:sz w:val="24"/>
                <w:szCs w:val="24"/>
                <w:shd w:val="clear" w:color="auto" w:fill="FFFFFF"/>
              </w:rPr>
              <w:t>Совместимость</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B876E8C" w14:textId="023673F1" w:rsidR="008F0D77" w:rsidRPr="009A0116" w:rsidRDefault="008F0D77" w:rsidP="00502920">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lang w:val="en-US"/>
              </w:rPr>
              <w:t xml:space="preserve">HP </w:t>
            </w:r>
            <w:r w:rsidR="00502920">
              <w:rPr>
                <w:rFonts w:ascii="Times New Roman" w:hAnsi="Times New Roman" w:cs="Times New Roman"/>
                <w:sz w:val="24"/>
                <w:szCs w:val="24"/>
                <w:shd w:val="clear" w:color="auto" w:fill="FFFFFF"/>
                <w:lang w:val="en-US"/>
              </w:rPr>
              <w:t xml:space="preserve">Color </w:t>
            </w:r>
            <w:r w:rsidRPr="009A0116">
              <w:rPr>
                <w:rFonts w:ascii="Times New Roman" w:hAnsi="Times New Roman" w:cs="Times New Roman"/>
                <w:sz w:val="24"/>
                <w:szCs w:val="24"/>
                <w:shd w:val="clear" w:color="auto" w:fill="FFFFFF"/>
                <w:lang w:val="en-US"/>
              </w:rPr>
              <w:t>LaserJet Pro MFP M</w:t>
            </w:r>
            <w:r w:rsidR="00502920">
              <w:rPr>
                <w:rFonts w:ascii="Times New Roman" w:hAnsi="Times New Roman" w:cs="Times New Roman"/>
                <w:sz w:val="24"/>
                <w:szCs w:val="24"/>
                <w:shd w:val="clear" w:color="auto" w:fill="FFFFFF"/>
                <w:lang w:val="en-US"/>
              </w:rPr>
              <w:t>479fdw</w:t>
            </w:r>
          </w:p>
        </w:tc>
        <w:tc>
          <w:tcPr>
            <w:tcW w:w="1267" w:type="dxa"/>
            <w:tcBorders>
              <w:top w:val="nil"/>
              <w:left w:val="single" w:sz="4" w:space="0" w:color="000000"/>
              <w:bottom w:val="single" w:sz="4" w:space="0" w:color="000000"/>
              <w:right w:val="single" w:sz="4" w:space="0" w:color="000000"/>
            </w:tcBorders>
            <w:vAlign w:val="center"/>
          </w:tcPr>
          <w:p w14:paraId="45A8F4A9" w14:textId="53DBE199"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D627D8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19995D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8</w:t>
            </w:r>
          </w:p>
        </w:tc>
        <w:tc>
          <w:tcPr>
            <w:tcW w:w="2641" w:type="dxa"/>
            <w:tcBorders>
              <w:top w:val="nil"/>
              <w:left w:val="single" w:sz="4" w:space="0" w:color="000000"/>
              <w:bottom w:val="single" w:sz="4" w:space="0" w:color="000000"/>
              <w:right w:val="single" w:sz="4" w:space="0" w:color="000000"/>
            </w:tcBorders>
            <w:vAlign w:val="center"/>
          </w:tcPr>
          <w:p w14:paraId="2B93E4B0" w14:textId="3959D919"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Ресурс</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3B8FE6A" w14:textId="2357B2F3" w:rsidR="008F0D77" w:rsidRPr="009A0116" w:rsidRDefault="00502920" w:rsidP="008F0D77">
            <w:pPr>
              <w:spacing w:after="0" w:line="240" w:lineRule="auto"/>
              <w:rPr>
                <w:rFonts w:ascii="Times New Roman" w:eastAsia="Times New Roman" w:hAnsi="Times New Roman" w:cs="Times New Roman"/>
                <w:sz w:val="24"/>
                <w:szCs w:val="24"/>
                <w:lang w:val="en-US"/>
              </w:rPr>
            </w:pPr>
            <w:r w:rsidRPr="002B0948">
              <w:rPr>
                <w:rFonts w:ascii="Times New Roman" w:hAnsi="Times New Roman" w:cs="Times New Roman"/>
                <w:sz w:val="24"/>
                <w:szCs w:val="24"/>
                <w:shd w:val="clear" w:color="auto" w:fill="FFFFFF"/>
                <w:lang w:val="kk-KZ"/>
              </w:rPr>
              <w:t>2400</w:t>
            </w:r>
            <w:r w:rsidRPr="002B0948">
              <w:rPr>
                <w:rFonts w:ascii="Times New Roman" w:hAnsi="Times New Roman" w:cs="Times New Roman"/>
                <w:sz w:val="24"/>
                <w:szCs w:val="24"/>
                <w:shd w:val="clear" w:color="auto" w:fill="FFFFFF"/>
              </w:rPr>
              <w:t xml:space="preserve"> страниц А4 при 5% заполнении</w:t>
            </w:r>
          </w:p>
        </w:tc>
        <w:tc>
          <w:tcPr>
            <w:tcW w:w="1267" w:type="dxa"/>
            <w:tcBorders>
              <w:top w:val="nil"/>
              <w:left w:val="single" w:sz="4" w:space="0" w:color="000000"/>
              <w:bottom w:val="single" w:sz="4" w:space="0" w:color="000000"/>
              <w:right w:val="single" w:sz="4" w:space="0" w:color="000000"/>
            </w:tcBorders>
            <w:vAlign w:val="center"/>
          </w:tcPr>
          <w:p w14:paraId="4B05177A" w14:textId="73A1E3C0"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bl>
    <w:p w14:paraId="673CF78A" w14:textId="77777777" w:rsidR="00643EC0" w:rsidRPr="00036A6E"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lastRenderedPageBreak/>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09E47FC0" w14:textId="261BC927"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w:t>
      </w:r>
      <w:r w:rsidR="00FF3466" w:rsidRPr="0099358E">
        <w:rPr>
          <w:rFonts w:ascii="Times New Roman" w:hAnsi="Times New Roman" w:cs="Times New Roman"/>
          <w:bCs/>
          <w:sz w:val="28"/>
          <w:szCs w:val="28"/>
        </w:rPr>
        <w:t>кабель подключения монитора</w:t>
      </w:r>
      <w:r w:rsidR="00681B39">
        <w:rPr>
          <w:rFonts w:ascii="Times New Roman" w:hAnsi="Times New Roman" w:cs="Times New Roman"/>
          <w:bCs/>
          <w:sz w:val="28"/>
          <w:szCs w:val="28"/>
        </w:rPr>
        <w:t xml:space="preserve"> к системному блоку,</w:t>
      </w:r>
      <w:r w:rsidR="004C7CEE" w:rsidRPr="0099358E">
        <w:rPr>
          <w:rFonts w:ascii="Times New Roman" w:hAnsi="Times New Roman" w:cs="Times New Roman"/>
          <w:bCs/>
          <w:sz w:val="28"/>
          <w:szCs w:val="28"/>
        </w:rPr>
        <w:t xml:space="preserve"> </w:t>
      </w:r>
      <w:r w:rsidR="009462B8">
        <w:rPr>
          <w:rFonts w:ascii="Times New Roman" w:hAnsi="Times New Roman" w:cs="Times New Roman"/>
          <w:bCs/>
          <w:sz w:val="28"/>
          <w:szCs w:val="28"/>
        </w:rPr>
        <w:t xml:space="preserve">клавиатура, мышь, </w:t>
      </w:r>
      <w:r w:rsidRPr="0099358E">
        <w:rPr>
          <w:rFonts w:ascii="Times New Roman" w:hAnsi="Times New Roman" w:cs="Times New Roman"/>
          <w:bCs/>
          <w:sz w:val="28"/>
          <w:szCs w:val="28"/>
        </w:rPr>
        <w:t>инструкция по эксплуатации,</w:t>
      </w:r>
      <w:r w:rsidR="008E243D" w:rsidRPr="0099358E">
        <w:rPr>
          <w:rFonts w:ascii="Times New Roman" w:hAnsi="Times New Roman" w:cs="Times New Roman"/>
          <w:bCs/>
          <w:sz w:val="28"/>
          <w:szCs w:val="28"/>
        </w:rPr>
        <w:t xml:space="preserve">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1281E576" w:rsidR="006A6222" w:rsidRPr="003A2797" w:rsidRDefault="00AC67EB" w:rsidP="006A6222">
      <w:pPr>
        <w:pStyle w:val="a3"/>
        <w:tabs>
          <w:tab w:val="num" w:pos="709"/>
          <w:tab w:val="left" w:pos="851"/>
        </w:tabs>
        <w:spacing w:before="0" w:beforeAutospacing="0" w:after="0" w:afterAutospacing="0"/>
        <w:ind w:left="567" w:right="-87"/>
        <w:rPr>
          <w:sz w:val="28"/>
          <w:szCs w:val="28"/>
          <w:lang w:val="kk-KZ"/>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proofErr w:type="spellStart"/>
      <w:r w:rsidR="003A2797">
        <w:rPr>
          <w:sz w:val="28"/>
          <w:szCs w:val="28"/>
        </w:rPr>
        <w:t>Ж</w:t>
      </w:r>
      <w:r w:rsidR="006A6222">
        <w:rPr>
          <w:sz w:val="28"/>
          <w:szCs w:val="28"/>
        </w:rPr>
        <w:t>.</w:t>
      </w:r>
      <w:r w:rsidR="003A2797">
        <w:rPr>
          <w:sz w:val="28"/>
          <w:szCs w:val="28"/>
        </w:rPr>
        <w:t>Уазыр</w:t>
      </w:r>
      <w:proofErr w:type="spellEnd"/>
      <w:r w:rsidR="003A2797">
        <w:rPr>
          <w:sz w:val="28"/>
          <w:szCs w:val="28"/>
          <w:lang w:val="kk-KZ"/>
        </w:rPr>
        <w:t>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27E8A"/>
    <w:rsid w:val="00030B1A"/>
    <w:rsid w:val="00036A6E"/>
    <w:rsid w:val="00041ECF"/>
    <w:rsid w:val="00061244"/>
    <w:rsid w:val="000672A0"/>
    <w:rsid w:val="00072C8F"/>
    <w:rsid w:val="000766DC"/>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A0784"/>
    <w:rsid w:val="001A12F1"/>
    <w:rsid w:val="001A6B27"/>
    <w:rsid w:val="001B6882"/>
    <w:rsid w:val="001E14DA"/>
    <w:rsid w:val="001F7F07"/>
    <w:rsid w:val="00213C0F"/>
    <w:rsid w:val="00214A00"/>
    <w:rsid w:val="002169D4"/>
    <w:rsid w:val="00242428"/>
    <w:rsid w:val="002538D8"/>
    <w:rsid w:val="00262C89"/>
    <w:rsid w:val="002B1E72"/>
    <w:rsid w:val="002C1881"/>
    <w:rsid w:val="002D4B89"/>
    <w:rsid w:val="00304729"/>
    <w:rsid w:val="003106ED"/>
    <w:rsid w:val="00332FC9"/>
    <w:rsid w:val="00362A42"/>
    <w:rsid w:val="0038438A"/>
    <w:rsid w:val="003860EB"/>
    <w:rsid w:val="0038751F"/>
    <w:rsid w:val="0039230E"/>
    <w:rsid w:val="003A0693"/>
    <w:rsid w:val="003A2797"/>
    <w:rsid w:val="003B5B77"/>
    <w:rsid w:val="003B6B69"/>
    <w:rsid w:val="003C5F23"/>
    <w:rsid w:val="003D465B"/>
    <w:rsid w:val="003E31F6"/>
    <w:rsid w:val="003F3C51"/>
    <w:rsid w:val="004303A9"/>
    <w:rsid w:val="0047373A"/>
    <w:rsid w:val="00473902"/>
    <w:rsid w:val="00486075"/>
    <w:rsid w:val="00490F61"/>
    <w:rsid w:val="00493F5B"/>
    <w:rsid w:val="0049462B"/>
    <w:rsid w:val="004B3096"/>
    <w:rsid w:val="004B53A4"/>
    <w:rsid w:val="004B6B46"/>
    <w:rsid w:val="004C7CEE"/>
    <w:rsid w:val="004E06B5"/>
    <w:rsid w:val="004E5EB6"/>
    <w:rsid w:val="00501035"/>
    <w:rsid w:val="00502920"/>
    <w:rsid w:val="0051464F"/>
    <w:rsid w:val="00515BFB"/>
    <w:rsid w:val="00534DA0"/>
    <w:rsid w:val="00535152"/>
    <w:rsid w:val="0056343D"/>
    <w:rsid w:val="005740D7"/>
    <w:rsid w:val="0058023D"/>
    <w:rsid w:val="00581F74"/>
    <w:rsid w:val="005D5703"/>
    <w:rsid w:val="00617F4D"/>
    <w:rsid w:val="00623B49"/>
    <w:rsid w:val="00631CCD"/>
    <w:rsid w:val="0063430C"/>
    <w:rsid w:val="0063713D"/>
    <w:rsid w:val="00643EC0"/>
    <w:rsid w:val="00645F92"/>
    <w:rsid w:val="00646E53"/>
    <w:rsid w:val="00647510"/>
    <w:rsid w:val="00681B39"/>
    <w:rsid w:val="00697C79"/>
    <w:rsid w:val="006A3264"/>
    <w:rsid w:val="006A495A"/>
    <w:rsid w:val="006A6222"/>
    <w:rsid w:val="006B4C40"/>
    <w:rsid w:val="006C2437"/>
    <w:rsid w:val="006D2E88"/>
    <w:rsid w:val="006E4498"/>
    <w:rsid w:val="00700E0A"/>
    <w:rsid w:val="00713011"/>
    <w:rsid w:val="00717756"/>
    <w:rsid w:val="00731048"/>
    <w:rsid w:val="007520E0"/>
    <w:rsid w:val="00764AD7"/>
    <w:rsid w:val="00766A8D"/>
    <w:rsid w:val="00784CEE"/>
    <w:rsid w:val="0078645B"/>
    <w:rsid w:val="007B2CC3"/>
    <w:rsid w:val="007B601E"/>
    <w:rsid w:val="007C12FF"/>
    <w:rsid w:val="007D25C8"/>
    <w:rsid w:val="007E17E1"/>
    <w:rsid w:val="007E7EF9"/>
    <w:rsid w:val="007F6EEC"/>
    <w:rsid w:val="007F766E"/>
    <w:rsid w:val="00822862"/>
    <w:rsid w:val="00833C0D"/>
    <w:rsid w:val="0087031A"/>
    <w:rsid w:val="008713DE"/>
    <w:rsid w:val="00880535"/>
    <w:rsid w:val="008B57C2"/>
    <w:rsid w:val="008C3ED5"/>
    <w:rsid w:val="008E243D"/>
    <w:rsid w:val="008F0D77"/>
    <w:rsid w:val="008F7336"/>
    <w:rsid w:val="0093611A"/>
    <w:rsid w:val="009369B6"/>
    <w:rsid w:val="009462B8"/>
    <w:rsid w:val="00984B8B"/>
    <w:rsid w:val="009854CF"/>
    <w:rsid w:val="009920B3"/>
    <w:rsid w:val="0099272F"/>
    <w:rsid w:val="00992A79"/>
    <w:rsid w:val="0099358E"/>
    <w:rsid w:val="009A0116"/>
    <w:rsid w:val="009A7AFB"/>
    <w:rsid w:val="009C1C01"/>
    <w:rsid w:val="009D1BC0"/>
    <w:rsid w:val="009F6119"/>
    <w:rsid w:val="00A00202"/>
    <w:rsid w:val="00A14D32"/>
    <w:rsid w:val="00A16A9D"/>
    <w:rsid w:val="00A1778A"/>
    <w:rsid w:val="00A34545"/>
    <w:rsid w:val="00A52D8C"/>
    <w:rsid w:val="00A70DB9"/>
    <w:rsid w:val="00A92FBC"/>
    <w:rsid w:val="00AA2F24"/>
    <w:rsid w:val="00AA426C"/>
    <w:rsid w:val="00AB72FD"/>
    <w:rsid w:val="00AC67EB"/>
    <w:rsid w:val="00B0437A"/>
    <w:rsid w:val="00B073A0"/>
    <w:rsid w:val="00B13492"/>
    <w:rsid w:val="00B16D98"/>
    <w:rsid w:val="00B21175"/>
    <w:rsid w:val="00B25C07"/>
    <w:rsid w:val="00B27735"/>
    <w:rsid w:val="00B76020"/>
    <w:rsid w:val="00B912B7"/>
    <w:rsid w:val="00B93694"/>
    <w:rsid w:val="00BC41AF"/>
    <w:rsid w:val="00BD3DAC"/>
    <w:rsid w:val="00BE17E4"/>
    <w:rsid w:val="00C319E2"/>
    <w:rsid w:val="00C42D69"/>
    <w:rsid w:val="00C5770F"/>
    <w:rsid w:val="00C612D9"/>
    <w:rsid w:val="00C62E4F"/>
    <w:rsid w:val="00C74BA3"/>
    <w:rsid w:val="00CB2904"/>
    <w:rsid w:val="00CD3AC2"/>
    <w:rsid w:val="00CE2FB3"/>
    <w:rsid w:val="00D565E4"/>
    <w:rsid w:val="00DA3300"/>
    <w:rsid w:val="00DA39BB"/>
    <w:rsid w:val="00DB486A"/>
    <w:rsid w:val="00DB7BA7"/>
    <w:rsid w:val="00DD0552"/>
    <w:rsid w:val="00DD259A"/>
    <w:rsid w:val="00DD6F80"/>
    <w:rsid w:val="00E621E7"/>
    <w:rsid w:val="00E76880"/>
    <w:rsid w:val="00E770E0"/>
    <w:rsid w:val="00E85629"/>
    <w:rsid w:val="00E943D1"/>
    <w:rsid w:val="00EA0779"/>
    <w:rsid w:val="00EA1845"/>
    <w:rsid w:val="00EB49A0"/>
    <w:rsid w:val="00EC152B"/>
    <w:rsid w:val="00EC512D"/>
    <w:rsid w:val="00EC7E6A"/>
    <w:rsid w:val="00ED03BA"/>
    <w:rsid w:val="00F126DF"/>
    <w:rsid w:val="00F55A40"/>
    <w:rsid w:val="00F569DB"/>
    <w:rsid w:val="00F605B0"/>
    <w:rsid w:val="00F623D0"/>
    <w:rsid w:val="00F710F1"/>
    <w:rsid w:val="00F754CF"/>
    <w:rsid w:val="00F90791"/>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A17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784810979">
      <w:bodyDiv w:val="1"/>
      <w:marLeft w:val="0"/>
      <w:marRight w:val="0"/>
      <w:marTop w:val="0"/>
      <w:marBottom w:val="0"/>
      <w:divBdr>
        <w:top w:val="none" w:sz="0" w:space="0" w:color="auto"/>
        <w:left w:val="none" w:sz="0" w:space="0" w:color="auto"/>
        <w:bottom w:val="none" w:sz="0" w:space="0" w:color="auto"/>
        <w:right w:val="none" w:sz="0" w:space="0" w:color="auto"/>
      </w:divBdr>
    </w:div>
    <w:div w:id="999382361">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491360916">
      <w:bodyDiv w:val="1"/>
      <w:marLeft w:val="0"/>
      <w:marRight w:val="0"/>
      <w:marTop w:val="0"/>
      <w:marBottom w:val="0"/>
      <w:divBdr>
        <w:top w:val="none" w:sz="0" w:space="0" w:color="auto"/>
        <w:left w:val="none" w:sz="0" w:space="0" w:color="auto"/>
        <w:bottom w:val="none" w:sz="0" w:space="0" w:color="auto"/>
        <w:right w:val="none" w:sz="0" w:space="0" w:color="auto"/>
      </w:divBdr>
    </w:div>
    <w:div w:id="1634142404">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395</Words>
  <Characters>2254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22</cp:revision>
  <cp:lastPrinted>2020-01-31T03:18:00Z</cp:lastPrinted>
  <dcterms:created xsi:type="dcterms:W3CDTF">2024-02-23T02:34:00Z</dcterms:created>
  <dcterms:modified xsi:type="dcterms:W3CDTF">2025-07-15T03:55:00Z</dcterms:modified>
</cp:coreProperties>
</file>